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260AF" w14:textId="4C1CF791" w:rsidR="00F129E9" w:rsidRPr="00F129E9" w:rsidRDefault="00F129E9" w:rsidP="005138CA">
      <w:pPr>
        <w:spacing w:line="360" w:lineRule="auto"/>
        <w:jc w:val="center"/>
        <w:rPr>
          <w:b/>
          <w:bCs/>
          <w:sz w:val="36"/>
          <w:szCs w:val="36"/>
        </w:rPr>
      </w:pPr>
      <w:r w:rsidRPr="00F129E9">
        <w:rPr>
          <w:b/>
          <w:bCs/>
          <w:sz w:val="36"/>
          <w:szCs w:val="36"/>
        </w:rPr>
        <w:t>MRT SUDERINAMUMAS</w:t>
      </w:r>
    </w:p>
    <w:p w14:paraId="09DE2CD8" w14:textId="0773B517" w:rsidR="00F129E9" w:rsidRPr="00F129E9" w:rsidRDefault="00F129E9" w:rsidP="005138CA">
      <w:pPr>
        <w:spacing w:line="360" w:lineRule="auto"/>
        <w:jc w:val="both"/>
      </w:pPr>
      <w:r w:rsidRPr="00F129E9">
        <w:t xml:space="preserve">Ortopedinių implantų saugumo ir efektyvumo (veikimo) santrauka pagal magnetinio rezonanso tomografijos procedūrą. </w:t>
      </w:r>
    </w:p>
    <w:p w14:paraId="01D77454" w14:textId="53124407" w:rsidR="00F129E9" w:rsidRPr="00F129E9" w:rsidRDefault="00F129E9" w:rsidP="005138CA">
      <w:pPr>
        <w:spacing w:line="360" w:lineRule="auto"/>
        <w:jc w:val="both"/>
      </w:pPr>
      <w:r w:rsidRPr="00F129E9">
        <w:t xml:space="preserve">Tikslas: Šio tyrimo tikslas – nustatyti ortopedinių implantų saugumą ir efektyvumą magnetinio rezonanso tomografijos procedūroje, nes yra labai didelė šilumos ir migracijos rizika dėl </w:t>
      </w:r>
      <w:proofErr w:type="spellStart"/>
      <w:r w:rsidRPr="00F129E9">
        <w:t>feromagnetizmo</w:t>
      </w:r>
      <w:proofErr w:type="spellEnd"/>
      <w:r w:rsidRPr="00F129E9">
        <w:t>, susidariusio magnetinio rezonanso tomografijos metu.</w:t>
      </w:r>
    </w:p>
    <w:p w14:paraId="427F6107" w14:textId="70E2F2C1" w:rsidR="00F129E9" w:rsidRPr="00F129E9" w:rsidRDefault="00F129E9" w:rsidP="005138CA">
      <w:pPr>
        <w:spacing w:line="360" w:lineRule="auto"/>
        <w:jc w:val="both"/>
      </w:pPr>
      <w:r w:rsidRPr="00F129E9">
        <w:t>Taikymo sritis: Šis tyrimas taikomas visiems mūsų organizacijos gaminamiems nerūdijančio plieno ir titano implantams.</w:t>
      </w:r>
    </w:p>
    <w:p w14:paraId="1CD59055" w14:textId="6CB1D024" w:rsidR="00F129E9" w:rsidRPr="00F129E9" w:rsidRDefault="00F129E9" w:rsidP="005138CA">
      <w:pPr>
        <w:spacing w:line="360" w:lineRule="auto"/>
        <w:jc w:val="both"/>
      </w:pPr>
      <w:r w:rsidRPr="00F129E9">
        <w:t>Atsakomybė: Atsakingas kokybės užtikrinimas yra atsakingas už saugos įvertinimą ir implantų įvertinimą magnetinio rezonanso tomografijos metu.</w:t>
      </w:r>
    </w:p>
    <w:p w14:paraId="0BE7F632" w14:textId="0DC918D6" w:rsidR="00F129E9" w:rsidRPr="00F129E9" w:rsidRDefault="00F129E9" w:rsidP="005138CA">
      <w:pPr>
        <w:spacing w:line="360" w:lineRule="auto"/>
        <w:jc w:val="both"/>
      </w:pPr>
      <w:r w:rsidRPr="00F129E9">
        <w:t xml:space="preserve">Santrauka: Ortopediniai implantai (implantų sąrašas pagal priedą-1), gaminami naudojant patikrintą ir stabilią metalinę medžiagą, atitinkančią ISO 5832-1:2016 ir ISO 5832-3:2016 atitinkamai nerūdijančio plieno ir titano. Magnetinį rezonansą galima patikrinti tuo metu, kai jis jau implantuojamas pacientui, arba </w:t>
      </w:r>
      <w:proofErr w:type="spellStart"/>
      <w:r w:rsidRPr="00F129E9">
        <w:t>in</w:t>
      </w:r>
      <w:proofErr w:type="spellEnd"/>
      <w:r w:rsidRPr="00F129E9">
        <w:t xml:space="preserve"> </w:t>
      </w:r>
      <w:proofErr w:type="spellStart"/>
      <w:r w:rsidRPr="00F129E9">
        <w:t>vitro</w:t>
      </w:r>
      <w:proofErr w:type="spellEnd"/>
      <w:r w:rsidRPr="00F129E9">
        <w:t xml:space="preserve"> sąlygomis. Siekdami toliau laikytis kuo mažesnę naštą užkraunančio požiūrio, išvengti nereikalingų bandymų ir remtis esama ir patikrinta moksline informacija, ortopedinių implantų saugą ir veiksmingumą įvertinome remdamiesi esama ir paskelbta moksline literatūra. Gerai žinomas faktas, kad magnetinio rezonanso tomografija sukuria stiprius </w:t>
      </w:r>
      <w:proofErr w:type="spellStart"/>
      <w:r w:rsidRPr="00F129E9">
        <w:t>feromagnetinius</w:t>
      </w:r>
      <w:proofErr w:type="spellEnd"/>
      <w:r w:rsidRPr="00F129E9">
        <w:t xml:space="preserve"> laukus, o bet kokią medžiagą ar medžiagą, kuri yra </w:t>
      </w:r>
      <w:proofErr w:type="spellStart"/>
      <w:r w:rsidRPr="00F129E9">
        <w:t>feromagnetinė</w:t>
      </w:r>
      <w:proofErr w:type="spellEnd"/>
      <w:r w:rsidRPr="00F129E9">
        <w:t xml:space="preserve">, gali stipriai pritraukti MRT įrangos </w:t>
      </w:r>
      <w:proofErr w:type="spellStart"/>
      <w:r w:rsidRPr="00F129E9">
        <w:t>mangetinis</w:t>
      </w:r>
      <w:proofErr w:type="spellEnd"/>
      <w:r w:rsidRPr="00F129E9">
        <w:t xml:space="preserve"> laukas. Mūsų prietaisai gaminami naudojant ne </w:t>
      </w:r>
      <w:proofErr w:type="spellStart"/>
      <w:r w:rsidRPr="00F129E9">
        <w:t>feromagnetinio</w:t>
      </w:r>
      <w:proofErr w:type="spellEnd"/>
      <w:r w:rsidRPr="00F129E9">
        <w:t xml:space="preserve"> pobūdžio medžiagas, naudojamas nerūdijantis plienas yra </w:t>
      </w:r>
      <w:proofErr w:type="spellStart"/>
      <w:r w:rsidRPr="00F129E9">
        <w:t>austenitinis</w:t>
      </w:r>
      <w:proofErr w:type="spellEnd"/>
      <w:r w:rsidRPr="00F129E9">
        <w:t xml:space="preserve"> (ISO 5832-1 ir 316L), o pats </w:t>
      </w:r>
      <w:proofErr w:type="spellStart"/>
      <w:r w:rsidRPr="00F129E9">
        <w:t>titanis</w:t>
      </w:r>
      <w:proofErr w:type="spellEnd"/>
      <w:r w:rsidRPr="00F129E9">
        <w:t xml:space="preserve"> (TiAl6V4 pagal ISO 5832-3) yra spalvotųjų metalų pagal savo cheminę sudėtį. Mes ieškojome literatūros, kad nustatytume riziką, susijusią su ortopedinių implantų, pagamintų naudojant panašias medžiagas, tokias kaip nerūdijantis plienas pagal ISO 5832-1 ir titanas pagal ISO 5832-3, suderinamumu su MRT. Mes nustatėme, kad ortopediniai implantai, pagaminti iš stabilios metalinės medžiagos, yra suderinami MRT aplinkoje.</w:t>
      </w:r>
    </w:p>
    <w:p w14:paraId="4DFE4491" w14:textId="0D6995AC" w:rsidR="00800BF9" w:rsidRDefault="00F129E9" w:rsidP="005138CA">
      <w:pPr>
        <w:spacing w:line="360" w:lineRule="auto"/>
        <w:jc w:val="both"/>
      </w:pPr>
      <w:r w:rsidRPr="00F129E9">
        <w:t>Toliau pateikta literatūr</w:t>
      </w:r>
      <w:r w:rsidR="008058A7">
        <w:t>a:</w:t>
      </w:r>
    </w:p>
    <w:p w14:paraId="0B952F5C" w14:textId="77777777" w:rsidR="00F129E9" w:rsidRPr="00F129E9" w:rsidRDefault="00F129E9" w:rsidP="005138CA">
      <w:pPr>
        <w:spacing w:line="360" w:lineRule="auto"/>
        <w:jc w:val="both"/>
      </w:pPr>
      <w:r w:rsidRPr="00F129E9">
        <w:t>LITERATŪRA NR. 01</w:t>
      </w:r>
    </w:p>
    <w:p w14:paraId="75468BD9" w14:textId="77777777" w:rsidR="00F129E9" w:rsidRPr="00F129E9" w:rsidRDefault="00F129E9" w:rsidP="005138CA">
      <w:pPr>
        <w:spacing w:line="360" w:lineRule="auto"/>
        <w:jc w:val="both"/>
      </w:pPr>
      <w:r w:rsidRPr="00F129E9">
        <w:t>PAVADINIMAS: Ar titano implantai iš tikrųjų yra saugūs magnetinio rezonanso tomografijos tyrimams?</w:t>
      </w:r>
    </w:p>
    <w:p w14:paraId="2E700336" w14:textId="77777777" w:rsidR="00F129E9" w:rsidRPr="00F129E9" w:rsidRDefault="00F129E9" w:rsidP="005138CA">
      <w:pPr>
        <w:spacing w:line="360" w:lineRule="auto"/>
        <w:jc w:val="both"/>
      </w:pPr>
      <w:r w:rsidRPr="00F129E9">
        <w:t>Įvadas:</w:t>
      </w:r>
    </w:p>
    <w:p w14:paraId="2C01D1E1" w14:textId="08955B96" w:rsidR="00F129E9" w:rsidRPr="00F129E9" w:rsidRDefault="00F129E9" w:rsidP="005138CA">
      <w:pPr>
        <w:spacing w:line="360" w:lineRule="auto"/>
        <w:jc w:val="both"/>
      </w:pPr>
      <w:r w:rsidRPr="00F129E9">
        <w:t xml:space="preserve">Magnetinio rezonanso tomografija (MRT) plačiai naudojama ligų diagnostikai, stadijai ir stebėjimui. MRT yra labai naudinga diagnostinė priemonė raumenų ir kaulų bei smegenų kraujagyslių vaizdavimui, nes ji turi puikų minkštųjų </w:t>
      </w:r>
      <w:r w:rsidRPr="00F129E9">
        <w:lastRenderedPageBreak/>
        <w:t>audinių kontrastą ir yra laikoma saugesne nei kiti būdai, nes ji neatskleidžia kūno spinduliuotės. Tačiau MRT nėra be rizikos. Metalo implanto buvimas paciento kūne MRT nuskaitymo metu gali būti pavojingas dėl per didelės magnetinio lauko sąveikos. Medicinos pažanga paskatino mūsų kūnuose naudoti įvairius implantus, tokius kaip dantų ir ortopediniai implantai. Kraniofacialinės chirurgijos srityje titano plokštelių ir varžtų naudojimas atviros redukcijos ir vidinės fiksacijos procedūrose sprogo nuo 20-ojo amžiaus pabaigos, o titanas dabar laikomas implantų pasirinkta medžiaga. Titano plokštelės dažnai naudojamos kranioplastikai, veido kaulų rekonstrukcijai ir orbitinio kaulo rekonstrukcijai, nes jos duoda puikių rezultatų, nesukeldamos jokių didelių problemų biologinės saugos srityje. Tačiau kai kurie gydytojai suabejojo, ar titano implantai iš tikrųjų yra saugūs MRT tyrimams. Kuo didesnis pagyvenusių pacientų skaičius, tuo didesnė tikimybė atlikti smegenų MRT dėl smegenų kraujagyslių ligos. Dėl to kilo klausimas, ar plačiai paplitęs titano implantų naudojimas kraniofacialiniame regione yra priimtinas, atsižvelgiant į tikimybę, kad ateityje pacientams bus atliktas smegenų MRT. Šiame straipsnyje pristatome MRT mechanizmą ir jo ryšį su metalais, ypač titanu, ir apžvelgiame susirūpinimą, kuris buvo iškeltas dėl titano medžiagų MRT.</w:t>
      </w:r>
    </w:p>
    <w:p w14:paraId="5CDD65D9" w14:textId="77777777" w:rsidR="00F129E9" w:rsidRPr="00F129E9" w:rsidRDefault="00F129E9" w:rsidP="005138CA">
      <w:pPr>
        <w:spacing w:line="360" w:lineRule="auto"/>
        <w:jc w:val="both"/>
      </w:pPr>
      <w:r w:rsidRPr="00F129E9">
        <w:t>MRT ir metalų ryšys:</w:t>
      </w:r>
    </w:p>
    <w:p w14:paraId="004091E9" w14:textId="269F9FD5" w:rsidR="00F129E9" w:rsidRPr="00F129E9" w:rsidRDefault="00F129E9" w:rsidP="005138CA">
      <w:pPr>
        <w:spacing w:line="360" w:lineRule="auto"/>
        <w:jc w:val="both"/>
      </w:pPr>
      <w:r w:rsidRPr="00F129E9">
        <w:t xml:space="preserve">Sveikas protas rodo, kad neturėtume priartinti metalo prie MRT aparato. Nors terminas </w:t>
      </w:r>
      <w:r w:rsidRPr="00F129E9">
        <w:rPr>
          <w:rFonts w:hint="eastAsia"/>
        </w:rPr>
        <w:t>"</w:t>
      </w:r>
      <w:proofErr w:type="spellStart"/>
      <w:r w:rsidRPr="00F129E9">
        <w:t>magnetis</w:t>
      </w:r>
      <w:proofErr w:type="spellEnd"/>
      <w:r w:rsidRPr="00F129E9">
        <w:rPr>
          <w:rFonts w:hint="eastAsia"/>
        </w:rPr>
        <w:t xml:space="preserve">" </w:t>
      </w:r>
      <w:r w:rsidRPr="00F129E9">
        <w:t xml:space="preserve">dažnai vartojamas kalbant apie metalų magnetines savybes, iš tikrųjų visos medžiagos turi magnetizmą, kurį galima suskirstyti į </w:t>
      </w:r>
      <w:proofErr w:type="spellStart"/>
      <w:r w:rsidRPr="00F129E9">
        <w:t>feromagnetizmą</w:t>
      </w:r>
      <w:proofErr w:type="spellEnd"/>
      <w:r w:rsidRPr="00F129E9">
        <w:t xml:space="preserve">, </w:t>
      </w:r>
      <w:proofErr w:type="spellStart"/>
      <w:r w:rsidRPr="00F129E9">
        <w:t>diamagnetizmą</w:t>
      </w:r>
      <w:proofErr w:type="spellEnd"/>
      <w:r w:rsidRPr="00F129E9">
        <w:t xml:space="preserve"> ir</w:t>
      </w:r>
      <w:r w:rsidR="008058A7">
        <w:t xml:space="preserve"> </w:t>
      </w:r>
      <w:proofErr w:type="spellStart"/>
      <w:r w:rsidRPr="00F129E9">
        <w:t>paramagnetizmą</w:t>
      </w:r>
      <w:proofErr w:type="spellEnd"/>
      <w:r w:rsidRPr="00F129E9">
        <w:t>.</w:t>
      </w:r>
    </w:p>
    <w:p w14:paraId="0C325E3B" w14:textId="06AEA136" w:rsidR="00F129E9" w:rsidRPr="00F129E9" w:rsidRDefault="00F129E9" w:rsidP="005138CA">
      <w:pPr>
        <w:spacing w:line="360" w:lineRule="auto"/>
        <w:jc w:val="both"/>
      </w:pPr>
      <w:proofErr w:type="spellStart"/>
      <w:r w:rsidRPr="00F129E9">
        <w:t>Feromagnetinės</w:t>
      </w:r>
      <w:proofErr w:type="spellEnd"/>
      <w:r w:rsidRPr="00F129E9">
        <w:t xml:space="preserve"> medžiagos yra medžiagos, kurios įmagnetinamos net tada, kai nėra išorinio magnetinio lauko. Kai </w:t>
      </w:r>
      <w:proofErr w:type="spellStart"/>
      <w:r w:rsidRPr="00F129E9">
        <w:t>feromagnetinė</w:t>
      </w:r>
      <w:proofErr w:type="spellEnd"/>
      <w:r w:rsidRPr="00F129E9">
        <w:t xml:space="preserve"> medžiaga priartėja prie MRT aparato, ji prisijungia prie MRT aparato dėl stipraus magnetinio lauko arba perkeliama į kitą vietą. Reprezentatyvios </w:t>
      </w:r>
      <w:proofErr w:type="spellStart"/>
      <w:r w:rsidRPr="00F129E9">
        <w:t>feromagnetinės</w:t>
      </w:r>
      <w:proofErr w:type="spellEnd"/>
      <w:r w:rsidRPr="00F129E9">
        <w:t xml:space="preserve"> medžiagos yra geležis, kobalto ir nikelio. </w:t>
      </w:r>
      <w:proofErr w:type="spellStart"/>
      <w:r w:rsidRPr="00F129E9">
        <w:t>Diamagnetinės</w:t>
      </w:r>
      <w:proofErr w:type="spellEnd"/>
      <w:r w:rsidRPr="00F129E9">
        <w:t xml:space="preserve"> medžiagos įmagnetinamos priešinga kryptimi nei magnetinis laukas, kai jos dedamos į magnetinį lauką, nors </w:t>
      </w:r>
      <w:proofErr w:type="spellStart"/>
      <w:r w:rsidRPr="00F129E9">
        <w:t>diamagnetizmas</w:t>
      </w:r>
      <w:proofErr w:type="spellEnd"/>
      <w:r w:rsidRPr="00F129E9">
        <w:t xml:space="preserve"> išnyksta, kai išnyksta magnetinis laukas. Reprezentacinės medžiagos yra varis, stiklas ir plastikas. </w:t>
      </w:r>
      <w:proofErr w:type="spellStart"/>
      <w:r w:rsidRPr="00F129E9">
        <w:t>Paramagnetinės</w:t>
      </w:r>
      <w:proofErr w:type="spellEnd"/>
      <w:r w:rsidRPr="00F129E9">
        <w:t xml:space="preserve"> medžiagos yra silpnai įmagnetintos išoriniu magnetiniu lauku ir praranda magnetizmą, kai pašalinamas išorinis magnetinis laukas. Dauguma medžiagų priklauso šiai kategorijai, įskaitant titaną.</w:t>
      </w:r>
    </w:p>
    <w:p w14:paraId="0355A1ED" w14:textId="77777777" w:rsidR="00F129E9" w:rsidRPr="00F129E9" w:rsidRDefault="00F129E9" w:rsidP="005138CA">
      <w:pPr>
        <w:spacing w:line="360" w:lineRule="auto"/>
        <w:jc w:val="both"/>
      </w:pPr>
      <w:r w:rsidRPr="00F129E9">
        <w:t>Susirūpinimas dėl MRT pacientams, turintiems titano implantus:</w:t>
      </w:r>
    </w:p>
    <w:p w14:paraId="2887B12E" w14:textId="676557F3" w:rsidR="00F129E9" w:rsidRPr="00F129E9" w:rsidRDefault="00F129E9" w:rsidP="005138CA">
      <w:pPr>
        <w:spacing w:line="360" w:lineRule="auto"/>
        <w:jc w:val="both"/>
      </w:pPr>
      <w:r w:rsidRPr="00F129E9">
        <w:t xml:space="preserve">Per pastaruosius 3 dešimtmečius chirurginiai titano implantai buvo išbandyti daugelyje saugumo, suderinamumo ir vaizdo gavimo diagnostinių artefaktų tyrimų. Beveik visuose tyrimuose padaryta išvada, kad dauguma </w:t>
      </w:r>
      <w:proofErr w:type="spellStart"/>
      <w:r w:rsidRPr="00F129E9">
        <w:t>neferomagnetinių</w:t>
      </w:r>
      <w:proofErr w:type="spellEnd"/>
      <w:r w:rsidRPr="00F129E9">
        <w:t xml:space="preserve"> implantų yra saugūs MRT sergantiems pacientams. JAV maisto ir vaistų administracija kasmet gauna apie 300 pranešimų apie nepageidaujamus reiškinius MRT skenavimo metu. Dažniausiai pranešama apie kontaktinius nudegimus dėl sąlyčio su oda arba išorinių metalinių daiktų, tokių kaip elektrokardiogramos laidai, </w:t>
      </w:r>
      <w:proofErr w:type="spellStart"/>
      <w:r w:rsidRPr="00F129E9">
        <w:t>pulsoksimetrai</w:t>
      </w:r>
      <w:proofErr w:type="spellEnd"/>
      <w:r w:rsidRPr="00F129E9">
        <w:t xml:space="preserve"> ir medicininiai pleistrai. Kiti dažniausiai pasitaikantys įvykiai yra dėl magnetinio lauko judančių </w:t>
      </w:r>
      <w:r w:rsidRPr="00F129E9">
        <w:lastRenderedPageBreak/>
        <w:t xml:space="preserve">objektų sviedinių sukeltų sviedinių avarijų padaryta žala, paciento stalo sukelti skaitmeniniai sužalojimai, paciento kritimai, klausos praradimas ir spengimas ausyse, kurie visi nėra susiję su chirurginio implanto buvimu. Kadangi MRT prietaisuose naudojami stiprūs magnetai, metaliniai implantai kelia specifinę galimo implantų migracijos ir radijo dažnio (RF) sukelto implantų kaitinimo riziką, o tai gali pakenkti aplinkiniams audiniams. Tyrimai parodė, kad implantai, tvirtai pritvirtinti prie kaulo, neturi įtakos MRT sukeltam poslinkiui. Atsižvelgiant į naujausių tyrimų trūkumą, MRT nerekomenduojama nedelsiant po operacijos pacientams, turintiems pasyvius implantus, tokius kaip ritės, filtrai ir </w:t>
      </w:r>
      <w:proofErr w:type="spellStart"/>
      <w:r w:rsidRPr="00F129E9">
        <w:t>stentai</w:t>
      </w:r>
      <w:proofErr w:type="spellEnd"/>
      <w:r w:rsidRPr="00F129E9">
        <w:t xml:space="preserve">. RF šildymas teoriškai įmanomas, nes sūkurinės srovės implantuose yra lygiagrečios statiniam skaitytuvo magnetiniam laukui. Tačiau visi </w:t>
      </w:r>
      <w:proofErr w:type="spellStart"/>
      <w:r w:rsidRPr="00F129E9">
        <w:t>kohortiniai</w:t>
      </w:r>
      <w:proofErr w:type="spellEnd"/>
      <w:r w:rsidRPr="00F129E9">
        <w:t xml:space="preserve"> tyrimai atskleidė, kad šis temperatūros pokytis yra nereikšmingas, o tai rodo, kad susirūpinimas dėl audinių pažeidimo dėl RF kaitinimo yra nepagrįstas. Dėl metalinių implantų gali atsirasti vaizdo artefaktų, kurie sukelia klaidingą rezultatų interpretaciją. Technologijų pažanga gali sumažinti vaizdo iškraipymą modifikuojant magnetinio rezonanso impulsų sekas ir optimizuojant nuskaitymo parametrus. Spręsdami, ar pacientams reikia atlikti MRT, gydytojai turi atsižvelgti tiek į vaizdo gavimo privalumus, tiek į vaizdo iškraipymo dėl implantų galimybę. Titanas yra </w:t>
      </w:r>
      <w:proofErr w:type="spellStart"/>
      <w:r w:rsidRPr="00F129E9">
        <w:t>paramagnetinė</w:t>
      </w:r>
      <w:proofErr w:type="spellEnd"/>
      <w:r w:rsidRPr="00F129E9">
        <w:t xml:space="preserve"> medžiaga, kuriai neturi įtakos MRT magnetinis laukas. Implantų sukeltų komplikacijų rizika yra labai maža, o MRT gali būti saugiai naudojamas pacientams su implantais. Tačiau </w:t>
      </w:r>
      <w:proofErr w:type="spellStart"/>
      <w:r w:rsidRPr="00F129E9">
        <w:t>kraniofacialinėje</w:t>
      </w:r>
      <w:proofErr w:type="spellEnd"/>
      <w:r w:rsidRPr="00F129E9">
        <w:t xml:space="preserve"> srityje naudojamos titano plokštės yra pagamintos iš lydinių. Reikalingi tikslesni tyrimai, nes MRT poveikis priklauso nuo lydinio sudedamųjų dalių dalies.</w:t>
      </w:r>
    </w:p>
    <w:p w14:paraId="78A50A93" w14:textId="77777777" w:rsidR="00F129E9" w:rsidRPr="00F129E9" w:rsidRDefault="00F129E9" w:rsidP="005138CA">
      <w:pPr>
        <w:spacing w:line="360" w:lineRule="auto"/>
        <w:jc w:val="both"/>
      </w:pPr>
      <w:r w:rsidRPr="00F129E9">
        <w:t>Literatūros ID Nr.: PMID: 30685951 PMCID: PMC6369045 DOI: 10.5999/aps.2018.01466</w:t>
      </w:r>
    </w:p>
    <w:p w14:paraId="20C68CEB" w14:textId="6E939393" w:rsidR="00F129E9" w:rsidRDefault="00F129E9" w:rsidP="005138CA">
      <w:pPr>
        <w:spacing w:line="360" w:lineRule="auto"/>
        <w:jc w:val="both"/>
      </w:pPr>
      <w:r w:rsidRPr="00F129E9">
        <w:t>Literatūros šaltinis: plastinės chirurgijos archyvas</w:t>
      </w:r>
    </w:p>
    <w:p w14:paraId="3FD8130C" w14:textId="77777777" w:rsidR="00F129E9" w:rsidRPr="00F129E9" w:rsidRDefault="00F129E9" w:rsidP="005138CA">
      <w:pPr>
        <w:spacing w:line="360" w:lineRule="auto"/>
        <w:jc w:val="both"/>
      </w:pPr>
      <w:r w:rsidRPr="00F129E9">
        <w:t>Atitinkamas autorius:</w:t>
      </w:r>
    </w:p>
    <w:p w14:paraId="2118F753" w14:textId="5A98349B" w:rsidR="00F129E9" w:rsidRPr="00F129E9" w:rsidRDefault="00F129E9" w:rsidP="005138CA">
      <w:pPr>
        <w:spacing w:line="360" w:lineRule="auto"/>
        <w:jc w:val="both"/>
      </w:pPr>
      <w:proofErr w:type="spellStart"/>
      <w:r w:rsidRPr="00F129E9">
        <w:t>Yong</w:t>
      </w:r>
      <w:proofErr w:type="spellEnd"/>
      <w:r w:rsidRPr="00F129E9">
        <w:t xml:space="preserve">-Ha </w:t>
      </w:r>
      <w:proofErr w:type="spellStart"/>
      <w:r w:rsidRPr="00F129E9">
        <w:t>Kim</w:t>
      </w:r>
      <w:proofErr w:type="spellEnd"/>
      <w:r w:rsidRPr="00F129E9">
        <w:t xml:space="preserve"> plastinės ir rekonstrukcinės chirurgijos katedra, </w:t>
      </w:r>
      <w:proofErr w:type="spellStart"/>
      <w:r w:rsidRPr="00F129E9">
        <w:t>Yeungnam</w:t>
      </w:r>
      <w:proofErr w:type="spellEnd"/>
      <w:r w:rsidRPr="00F129E9">
        <w:t xml:space="preserve"> universiteto medicinos koledžas, 170 </w:t>
      </w:r>
      <w:proofErr w:type="spellStart"/>
      <w:r w:rsidRPr="00F129E9">
        <w:t>Hyeonchung-ro</w:t>
      </w:r>
      <w:proofErr w:type="spellEnd"/>
      <w:r w:rsidRPr="00F129E9">
        <w:t xml:space="preserve">, </w:t>
      </w:r>
      <w:proofErr w:type="spellStart"/>
      <w:r w:rsidRPr="00F129E9">
        <w:t>Nam-gu</w:t>
      </w:r>
      <w:proofErr w:type="spellEnd"/>
      <w:r w:rsidRPr="00F129E9">
        <w:t xml:space="preserve">, </w:t>
      </w:r>
      <w:proofErr w:type="spellStart"/>
      <w:r w:rsidRPr="00F129E9">
        <w:t>Daegu</w:t>
      </w:r>
      <w:proofErr w:type="spellEnd"/>
      <w:r w:rsidRPr="00F129E9">
        <w:t xml:space="preserve"> 42415, Korėja</w:t>
      </w:r>
    </w:p>
    <w:p w14:paraId="55D4F136" w14:textId="77777777" w:rsidR="00F129E9" w:rsidRPr="00F129E9" w:rsidRDefault="00F129E9" w:rsidP="005138CA">
      <w:pPr>
        <w:spacing w:line="360" w:lineRule="auto"/>
        <w:jc w:val="both"/>
      </w:pPr>
      <w:r w:rsidRPr="00F129E9">
        <w:t>Tel.: +82-53-620-3481, Faksas: +82-53-626-0705, El. paštas: kimyon@ynu.ac.kr</w:t>
      </w:r>
    </w:p>
    <w:p w14:paraId="65367816" w14:textId="77777777" w:rsidR="00F129E9" w:rsidRPr="00F129E9" w:rsidRDefault="00F129E9" w:rsidP="005138CA">
      <w:pPr>
        <w:spacing w:line="360" w:lineRule="auto"/>
        <w:jc w:val="both"/>
      </w:pPr>
      <w:r w:rsidRPr="00F129E9">
        <w:t>LITERATŪRA NR. 02</w:t>
      </w:r>
    </w:p>
    <w:p w14:paraId="75A9CB2A" w14:textId="77777777" w:rsidR="00F129E9" w:rsidRPr="00F129E9" w:rsidRDefault="00F129E9" w:rsidP="005138CA">
      <w:pPr>
        <w:spacing w:line="360" w:lineRule="auto"/>
        <w:jc w:val="both"/>
      </w:pPr>
      <w:r w:rsidRPr="00F129E9">
        <w:t>PAVADINIMAS: Naujausių standartinių ortopedinių metalinių implantų markių MR emisijų įvertinimas:</w:t>
      </w:r>
    </w:p>
    <w:p w14:paraId="0DE40F09" w14:textId="77777777" w:rsidR="00F129E9" w:rsidRPr="00F129E9" w:rsidRDefault="00F129E9" w:rsidP="005138CA">
      <w:pPr>
        <w:spacing w:line="360" w:lineRule="auto"/>
        <w:jc w:val="both"/>
      </w:pPr>
      <w:r w:rsidRPr="00F129E9">
        <w:t>Plokštės ir varžtai.</w:t>
      </w:r>
    </w:p>
    <w:p w14:paraId="01217AA8" w14:textId="77777777" w:rsidR="00F129E9" w:rsidRPr="00F129E9" w:rsidRDefault="00F129E9" w:rsidP="005138CA">
      <w:pPr>
        <w:spacing w:line="360" w:lineRule="auto"/>
        <w:jc w:val="both"/>
      </w:pPr>
      <w:r w:rsidRPr="00F129E9">
        <w:t>ABSTRAKTUS:</w:t>
      </w:r>
    </w:p>
    <w:p w14:paraId="7C6B1CD9" w14:textId="77777777" w:rsidR="00F129E9" w:rsidRPr="00F129E9" w:rsidRDefault="00F129E9" w:rsidP="005138CA">
      <w:pPr>
        <w:spacing w:line="360" w:lineRule="auto"/>
        <w:jc w:val="both"/>
      </w:pPr>
      <w:r w:rsidRPr="00F129E9">
        <w:t>Tikslas:</w:t>
      </w:r>
    </w:p>
    <w:p w14:paraId="0577C980" w14:textId="1ADB0BA5" w:rsidR="00F129E9" w:rsidRPr="00F129E9" w:rsidRDefault="00F129E9" w:rsidP="005138CA">
      <w:pPr>
        <w:spacing w:line="360" w:lineRule="auto"/>
        <w:jc w:val="both"/>
      </w:pPr>
      <w:r w:rsidRPr="00F129E9">
        <w:t>Tyrimas buvo atliktas siekiant įvertinti naujausių standartinių plokštelių ir varžtų, naudojamų ortopedinėje chirurgijoje 1,5-T MR sistemoje, magnetinio rezonanso (MR) problemas, įskaitant saugos ir metalinius artefaktus.</w:t>
      </w:r>
    </w:p>
    <w:p w14:paraId="5F79D43E" w14:textId="77777777" w:rsidR="00F129E9" w:rsidRPr="00F129E9" w:rsidRDefault="00F129E9" w:rsidP="005138CA">
      <w:pPr>
        <w:spacing w:line="360" w:lineRule="auto"/>
        <w:jc w:val="both"/>
      </w:pPr>
      <w:r w:rsidRPr="00F129E9">
        <w:lastRenderedPageBreak/>
        <w:t>Metodai:</w:t>
      </w:r>
    </w:p>
    <w:p w14:paraId="54340E27" w14:textId="75300C8D" w:rsidR="00F129E9" w:rsidRDefault="00F129E9" w:rsidP="005138CA">
      <w:pPr>
        <w:spacing w:line="360" w:lineRule="auto"/>
        <w:jc w:val="both"/>
      </w:pPr>
      <w:r w:rsidRPr="00F129E9">
        <w:t xml:space="preserve">Plokštės ir varžtai (pagaminti iš titano lydinio ir nerūdijančio plieno medžiagų, pagal naujausius standartinius prekės ženklus) buvo įvertinti dėl poslinkio laipsniais, su MRT susijusiu šildymu ir artefaktais 1.5-T MR sistemoje. Plokštelių ir varžtų poslinkis laipsniais buvo įvertintas angelo matavimo prietaisu prie MR skaitytuvo įėjimo. Su MRT susijęs kaitinimas buvo įvertintas kaip vyno kojelė, pritvirtinta lėkšte, naudojant </w:t>
      </w:r>
      <w:r w:rsidRPr="00F129E9">
        <w:rPr>
          <w:rFonts w:hint="eastAsia"/>
        </w:rPr>
        <w:t>"</w:t>
      </w:r>
      <w:r w:rsidRPr="00F129E9">
        <w:t>blogiausio atvejo</w:t>
      </w:r>
      <w:r w:rsidRPr="00F129E9">
        <w:rPr>
          <w:rFonts w:hint="eastAsia"/>
        </w:rPr>
        <w:t>"</w:t>
      </w:r>
      <w:r w:rsidRPr="00F129E9">
        <w:t xml:space="preserve"> impulsų seką. Stačiakampis vandens fantomas buvo sukurtas siekiant įvertinti metalinius varžto artefaktus skirtingose sekose (T1 / T2 svertinis FSE, STIR, T2-FSEfat prisotinimas, GRE, DWI), o tada artefaktai buvo įvertinti pagal T2 svertinę FSE seką, modifikuojant nuskaitymo parametrus, įskaitant matymo lauką (FOV), aido traukinio ilgį (ETL) ir pralaidumą, siekiant nustatyti parametrų įtaką metaliniams artefaktams. 15 savanorių, turinčių vidinę stuburo fiksaciją (titano lydinio medžiagas), buvo nuskenuoti MR, naudojant atitinkamai ašinį ir sagitalinį T2-FSE, sagitalinį T2-FSE riebalų slopinimą ir STIR su įprastais ir optimizuotais parametrais. Tada visus vaizdus įvertino du patyrę radiologai, turintys daugiau nei 7 metų patirtį atliekant dvigubai aklus tyrimus, tai nė vienas iš jų nežinojo, kuri yra įprastinė parametrų grupė ir optimizuota parametrų grupė.</w:t>
      </w:r>
    </w:p>
    <w:p w14:paraId="66FE5208" w14:textId="77777777" w:rsidR="00F129E9" w:rsidRPr="00F129E9" w:rsidRDefault="00F129E9" w:rsidP="005138CA">
      <w:pPr>
        <w:spacing w:line="360" w:lineRule="auto"/>
        <w:jc w:val="both"/>
      </w:pPr>
      <w:r w:rsidRPr="00F129E9">
        <w:t>Rezultatai:</w:t>
      </w:r>
    </w:p>
    <w:p w14:paraId="64815592" w14:textId="61E97BB6" w:rsidR="00F129E9" w:rsidRPr="00F129E9" w:rsidRDefault="00F129E9" w:rsidP="005138CA">
      <w:pPr>
        <w:spacing w:line="360" w:lineRule="auto"/>
        <w:jc w:val="both"/>
      </w:pPr>
      <w:r w:rsidRPr="00F129E9">
        <w:t>Vidutinis titano lydinio ir nerūdijančio plieno implantų deformacijos kampas buvo atitinkamai 4,3</w:t>
      </w:r>
      <w:r w:rsidRPr="00F129E9">
        <w:rPr>
          <w:rFonts w:hint="eastAsia"/>
        </w:rPr>
        <w:t xml:space="preserve">◦ </w:t>
      </w:r>
      <w:r w:rsidRPr="00F129E9">
        <w:t>ir 7,7</w:t>
      </w:r>
      <w:r w:rsidRPr="00F129E9">
        <w:rPr>
          <w:rFonts w:hint="eastAsia"/>
        </w:rPr>
        <w:t>◦</w:t>
      </w:r>
      <w:r w:rsidRPr="00F129E9">
        <w:t xml:space="preserve"> (mažiau nei 45</w:t>
      </w:r>
      <w:r w:rsidRPr="00F129E9">
        <w:rPr>
          <w:rFonts w:hint="eastAsia"/>
        </w:rPr>
        <w:t>◦</w:t>
      </w:r>
      <w:r w:rsidRPr="00F129E9">
        <w:t xml:space="preserve">), o tai rodo, kad </w:t>
      </w:r>
      <w:proofErr w:type="spellStart"/>
      <w:r w:rsidRPr="00F129E9">
        <w:t>magnetiškai</w:t>
      </w:r>
      <w:proofErr w:type="spellEnd"/>
      <w:r w:rsidRPr="00F129E9">
        <w:t xml:space="preserve"> sukelta jėga buvo mažesnė už objekto svorį. Titano lydinio implantų deformacijos kampas buvo mažesnis nei nerūdijančio plieno (t = 9, 69, P &lt; 0, 001). Vidutiniai titano lydinio temperatūros pokyčiai prieš ir po nuskaitymo buvo 0,48</w:t>
      </w:r>
      <w:r w:rsidRPr="00F129E9">
        <w:rPr>
          <w:rFonts w:hint="eastAsia"/>
        </w:rPr>
        <w:t>◦C</w:t>
      </w:r>
      <w:r w:rsidRPr="00F129E9">
        <w:t>, o nerūdijančio plieno implantų – atitinkamai 0,74</w:t>
      </w:r>
      <w:r w:rsidRPr="00F129E9">
        <w:rPr>
          <w:rFonts w:hint="eastAsia"/>
        </w:rPr>
        <w:t>◦C</w:t>
      </w:r>
      <w:r w:rsidRPr="00F129E9">
        <w:t>, o foninės temperatūros pokyčiai buvo 0,24</w:t>
      </w:r>
      <w:r w:rsidRPr="00F129E9">
        <w:rPr>
          <w:rFonts w:hint="eastAsia"/>
        </w:rPr>
        <w:t xml:space="preserve">◦C. </w:t>
      </w:r>
      <w:r w:rsidRPr="00F129E9">
        <w:t xml:space="preserve">Vandens fantomo bandymas parodė, kad DWI seka sukūrė didžiausius artefaktus, o FSE impulsų seka - mažiausius artefaktus. Ir T2 svertinė FSE riebalų prisotinimo seka sukūrė didesnius artefaktus nei STIR seka. Buvo patikrinta nuskaitymo parametrų įtaka metaliniams artefaktams, kad metaliniai artefaktai padidėjo ilgesniu aido traukinio ilgiu ir didesniu FOV, o sumažėjo esant didesniam pralaidumui. Tarp skaitytojų susitarimas buvo geras arba puikus kiekvienam vaizdų rinkiniui, įvertintam pagal </w:t>
      </w:r>
      <w:proofErr w:type="spellStart"/>
      <w:r w:rsidRPr="00F129E9">
        <w:rPr>
          <w:rFonts w:hint="eastAsia"/>
        </w:rPr>
        <w:t>Coheno</w:t>
      </w:r>
      <w:proofErr w:type="spellEnd"/>
      <w:r w:rsidRPr="00F129E9">
        <w:t xml:space="preserve"> </w:t>
      </w:r>
      <w:proofErr w:type="spellStart"/>
      <w:r w:rsidRPr="00F129E9">
        <w:t>Kappa</w:t>
      </w:r>
      <w:proofErr w:type="spellEnd"/>
      <w:r w:rsidRPr="00F129E9">
        <w:t xml:space="preserve"> statistiką. Ašinio ir sagitalinio T2-FSE vaizdo gradavimas su optimizuotais parametrais buvo žymiai pranašesnis už įprastus parametrus (laipsnis, 3,3 </w:t>
      </w:r>
      <w:r w:rsidRPr="00F129E9">
        <w:rPr>
          <w:rFonts w:hint="eastAsia"/>
        </w:rPr>
        <w:t>±</w:t>
      </w:r>
      <w:r w:rsidRPr="00F129E9">
        <w:t xml:space="preserve"> 0,5 vs 2,7 </w:t>
      </w:r>
      <w:r w:rsidRPr="00F129E9">
        <w:rPr>
          <w:rFonts w:hint="eastAsia"/>
        </w:rPr>
        <w:t>±</w:t>
      </w:r>
      <w:r w:rsidRPr="00F129E9">
        <w:t xml:space="preserve"> 0,6, P =0,003; 3,2 </w:t>
      </w:r>
      <w:r w:rsidRPr="00F129E9">
        <w:rPr>
          <w:rFonts w:hint="eastAsia"/>
        </w:rPr>
        <w:t>±</w:t>
      </w:r>
      <w:r w:rsidRPr="00F129E9">
        <w:t xml:space="preserve"> 0,4 vs 1,9 </w:t>
      </w:r>
      <w:r w:rsidRPr="00F129E9">
        <w:rPr>
          <w:rFonts w:hint="eastAsia"/>
        </w:rPr>
        <w:t>±</w:t>
      </w:r>
      <w:r w:rsidRPr="00F129E9">
        <w:t xml:space="preserve"> 0,7,P = 0,001), o STIR sekos vaizdas gavo geresnį pažymį nei T2-FSE FS seka (laipsnis, 3,4 </w:t>
      </w:r>
      <w:r w:rsidRPr="00F129E9">
        <w:rPr>
          <w:rFonts w:hint="eastAsia"/>
        </w:rPr>
        <w:t>±</w:t>
      </w:r>
      <w:r w:rsidRPr="00F129E9">
        <w:t xml:space="preserve"> 0,5vs 1,7 </w:t>
      </w:r>
      <w:r w:rsidRPr="00F129E9">
        <w:rPr>
          <w:rFonts w:hint="eastAsia"/>
        </w:rPr>
        <w:t>±</w:t>
      </w:r>
      <w:r w:rsidRPr="00F129E9">
        <w:t xml:space="preserve"> 0,6, P &lt; 0,001).</w:t>
      </w:r>
    </w:p>
    <w:p w14:paraId="50BCA937" w14:textId="77777777" w:rsidR="00F129E9" w:rsidRPr="00F129E9" w:rsidRDefault="00F129E9" w:rsidP="005138CA">
      <w:pPr>
        <w:spacing w:line="360" w:lineRule="auto"/>
        <w:jc w:val="both"/>
      </w:pPr>
      <w:r w:rsidRPr="00F129E9">
        <w:t>Išvados:</w:t>
      </w:r>
    </w:p>
    <w:p w14:paraId="77C06F8A" w14:textId="4E98B009" w:rsidR="00F129E9" w:rsidRPr="00F129E9" w:rsidRDefault="00F129E9" w:rsidP="005138CA">
      <w:pPr>
        <w:spacing w:line="360" w:lineRule="auto"/>
        <w:jc w:val="both"/>
      </w:pPr>
      <w:r w:rsidRPr="00F129E9">
        <w:t xml:space="preserve">Naujausios standartinės plokštelės ir varžtai, naudojami ortopedinėje chirurgijoje, nekelia papildomo pavojaus ar rizikos pacientams, kuriems atliekamas MR vaizdavimas esant 1,5-T ar mažesniam. Nors jų sukeltų artefaktų negalima ignoruoti dėl jų santykinai didelio dydžio, juos galima sumažinti pasirenkant tinkamas impulsų sekas ir </w:t>
      </w:r>
      <w:r w:rsidRPr="00F129E9">
        <w:lastRenderedPageBreak/>
        <w:t>optimizuojant nuskaitymo parametrus, tokius kaip FSE ir STIR seka su dideliu pralaidumu, mažu FOV ir tinkamu aido traukinio ilgiu.</w:t>
      </w:r>
    </w:p>
    <w:p w14:paraId="2C83FCEA" w14:textId="77777777" w:rsidR="00F129E9" w:rsidRPr="00F129E9" w:rsidRDefault="00F129E9" w:rsidP="005138CA">
      <w:pPr>
        <w:spacing w:line="360" w:lineRule="auto"/>
        <w:jc w:val="both"/>
      </w:pPr>
      <w:r w:rsidRPr="00F129E9">
        <w:t>Literatūros ID Nr. PMID: 25544555 DOI: 10.1016/j.ejrad.2014.12.001</w:t>
      </w:r>
    </w:p>
    <w:p w14:paraId="5E8A798B" w14:textId="77777777" w:rsidR="00F129E9" w:rsidRPr="00F129E9" w:rsidRDefault="00F129E9" w:rsidP="005138CA">
      <w:pPr>
        <w:spacing w:line="360" w:lineRule="auto"/>
        <w:jc w:val="both"/>
      </w:pPr>
      <w:r w:rsidRPr="00F129E9">
        <w:t>Literatūros šaltinis: Europos radiologijos žurnalas</w:t>
      </w:r>
    </w:p>
    <w:p w14:paraId="0165AFDA" w14:textId="77777777" w:rsidR="00F129E9" w:rsidRPr="00F129E9" w:rsidRDefault="00F129E9" w:rsidP="005138CA">
      <w:pPr>
        <w:spacing w:line="360" w:lineRule="auto"/>
        <w:jc w:val="both"/>
      </w:pPr>
      <w:r w:rsidRPr="00F129E9">
        <w:t>Atitinkamas autorius:</w:t>
      </w:r>
    </w:p>
    <w:p w14:paraId="3517F651" w14:textId="77777777" w:rsidR="00F129E9" w:rsidRPr="00F129E9" w:rsidRDefault="00F129E9" w:rsidP="005138CA">
      <w:pPr>
        <w:spacing w:line="360" w:lineRule="auto"/>
        <w:jc w:val="both"/>
      </w:pPr>
      <w:r w:rsidRPr="00F129E9">
        <w:t xml:space="preserve">Tel.: +86 13951606287; faksas: +86 25 83780711.El. pašto adresai: zou yf@163.com (Y.-f. </w:t>
      </w:r>
      <w:proofErr w:type="spellStart"/>
      <w:r w:rsidRPr="00F129E9">
        <w:t>Zou</w:t>
      </w:r>
      <w:proofErr w:type="spellEnd"/>
      <w:r w:rsidRPr="00F129E9">
        <w:t>),</w:t>
      </w:r>
    </w:p>
    <w:p w14:paraId="6BFA1BED" w14:textId="6113C0A8" w:rsidR="00F129E9" w:rsidRDefault="00F129E9" w:rsidP="005138CA">
      <w:pPr>
        <w:spacing w:line="360" w:lineRule="auto"/>
        <w:jc w:val="both"/>
      </w:pPr>
      <w:r w:rsidRPr="00F129E9">
        <w:t>18262636700@163.com (B. Chu), wangchuanb csr@163.com (C.-b. Wang), huzhiyi@medmail.com.cn (Z.-y. Hu).1Tel: +86 18262636700.2Tel: +86 13912985425.3 Tel:+86 13851657808.4Abu autoriai yra pirmieji autoriai ir vienodai prisidėjo prie kūrinio.</w:t>
      </w:r>
    </w:p>
    <w:p w14:paraId="29C06275" w14:textId="77777777" w:rsidR="00F129E9" w:rsidRPr="00F129E9" w:rsidRDefault="00F129E9" w:rsidP="005138CA">
      <w:pPr>
        <w:spacing w:line="360" w:lineRule="auto"/>
        <w:jc w:val="both"/>
      </w:pPr>
      <w:r w:rsidRPr="00F129E9">
        <w:t>LITERATŪRA NR. 03</w:t>
      </w:r>
    </w:p>
    <w:p w14:paraId="63DD673F" w14:textId="2DE15F9F" w:rsidR="00F129E9" w:rsidRPr="00F129E9" w:rsidRDefault="00F129E9" w:rsidP="005138CA">
      <w:pPr>
        <w:spacing w:line="360" w:lineRule="auto"/>
        <w:jc w:val="both"/>
      </w:pPr>
      <w:r w:rsidRPr="00F129E9">
        <w:t>PAVADINIMAS: Ortopedinių implantų sauga magnetinio rezonanso tomografijoje: eksperimentinė patikra</w:t>
      </w:r>
    </w:p>
    <w:p w14:paraId="3FCEBF9E" w14:textId="77777777" w:rsidR="00F129E9" w:rsidRPr="00F129E9" w:rsidRDefault="00F129E9" w:rsidP="005138CA">
      <w:pPr>
        <w:spacing w:line="360" w:lineRule="auto"/>
        <w:jc w:val="both"/>
      </w:pPr>
      <w:r w:rsidRPr="00F129E9">
        <w:t>Abstraktus:</w:t>
      </w:r>
    </w:p>
    <w:p w14:paraId="2EB09E13" w14:textId="77777777" w:rsidR="00F129E9" w:rsidRDefault="00F129E9" w:rsidP="005138CA">
      <w:pPr>
        <w:spacing w:line="360" w:lineRule="auto"/>
        <w:jc w:val="both"/>
      </w:pPr>
      <w:r w:rsidRPr="00F129E9">
        <w:t xml:space="preserve">Magnetinio rezonanso tomografija (MRT) yra būtina raumenų ir kaulų kompiuterinės tomografijos priemonė. Tačiau metalo buvimas kelia susirūpinimą. Galima rizika yra implanto atsipalaidavimas ir migracija, metalo kaitinimas su aplinkiniais audiniais, šiluminės žalos sukėlimas ir artefaktų iškraipymas, kuris kenkia diagnostinei procedūros vertei. Šio tyrimo tikslas buvo eksperimentiškai patikrinti pirmųjų dviejų šių poveikių pobūdį ir mastą ortopediniuose implantuose. </w:t>
      </w:r>
      <w:proofErr w:type="spellStart"/>
      <w:r w:rsidRPr="00F129E9">
        <w:t>Feromagnetizmo</w:t>
      </w:r>
      <w:proofErr w:type="spellEnd"/>
      <w:r w:rsidRPr="00F129E9">
        <w:t xml:space="preserve"> laipsnis buvo įvertintas deformacijos tyrimais 0,25 </w:t>
      </w:r>
      <w:proofErr w:type="spellStart"/>
      <w:r w:rsidRPr="00F129E9">
        <w:t>Tesla</w:t>
      </w:r>
      <w:proofErr w:type="spellEnd"/>
      <w:r w:rsidRPr="00F129E9">
        <w:t xml:space="preserve"> nuolatinio magneto ir 1,0 </w:t>
      </w:r>
      <w:proofErr w:type="spellStart"/>
      <w:r w:rsidRPr="00F129E9">
        <w:t>Tesla</w:t>
      </w:r>
      <w:proofErr w:type="spellEnd"/>
      <w:r w:rsidRPr="00F129E9">
        <w:t xml:space="preserve"> klinikinio MRT skaitytuvo portaluose. Nė vienas iš ortopedinių implantų neturėjo jokios traukos. Tačiau išoriniai fiksatorių spaustukai parodė didelį </w:t>
      </w:r>
      <w:proofErr w:type="spellStart"/>
      <w:r w:rsidRPr="00F129E9">
        <w:t>feromagnetizmą</w:t>
      </w:r>
      <w:proofErr w:type="spellEnd"/>
      <w:r w:rsidRPr="00F129E9">
        <w:t xml:space="preserve">. Implantų kaitinimas </w:t>
      </w:r>
      <w:r w:rsidRPr="00F129E9">
        <w:rPr>
          <w:rFonts w:hint="eastAsia"/>
        </w:rPr>
        <w:t>"</w:t>
      </w:r>
      <w:r w:rsidRPr="00F129E9">
        <w:t>blogiausio atvejo</w:t>
      </w:r>
      <w:r w:rsidRPr="00F129E9">
        <w:rPr>
          <w:rFonts w:hint="eastAsia"/>
        </w:rPr>
        <w:t xml:space="preserve">" </w:t>
      </w:r>
      <w:r w:rsidRPr="00F129E9">
        <w:t xml:space="preserve">scenarijaus vaizdavimo sekomis buvo nereikšmingas. Daugelis šiuolaikinių </w:t>
      </w:r>
      <w:proofErr w:type="spellStart"/>
      <w:r w:rsidRPr="00F129E9">
        <w:t>neferromagnetinių</w:t>
      </w:r>
      <w:proofErr w:type="spellEnd"/>
      <w:r w:rsidRPr="00F129E9">
        <w:t xml:space="preserve"> ortopedinių implantų gali būti saugiai atvaizduoti. Tačiau būtų protinga atlikti dvigubo implanto </w:t>
      </w:r>
      <w:proofErr w:type="spellStart"/>
      <w:r w:rsidRPr="00F129E9">
        <w:t>ex</w:t>
      </w:r>
      <w:proofErr w:type="spellEnd"/>
      <w:r w:rsidRPr="00F129E9">
        <w:t xml:space="preserve"> </w:t>
      </w:r>
      <w:proofErr w:type="spellStart"/>
      <w:r w:rsidRPr="00F129E9">
        <w:t>vivo</w:t>
      </w:r>
      <w:proofErr w:type="spellEnd"/>
      <w:r w:rsidRPr="00F129E9">
        <w:t xml:space="preserve"> deformacijos tyrimus, kad būtų patvirtintas MR suderinamumas. Naudojant išorinius fiksatorius, pasižyminčius stipriu </w:t>
      </w:r>
      <w:proofErr w:type="spellStart"/>
      <w:r w:rsidRPr="00F129E9">
        <w:t>feromagnetizmu</w:t>
      </w:r>
      <w:proofErr w:type="spellEnd"/>
      <w:r w:rsidRPr="00F129E9">
        <w:t>, reikėtų vengti MRT. Plečiantis MRT indikacijoms, ortopediniai implantai greičiausiai neapribos šio galingo įrankio potencialo.</w:t>
      </w:r>
    </w:p>
    <w:p w14:paraId="06BC5690" w14:textId="2899C894" w:rsidR="00F129E9" w:rsidRPr="00F129E9" w:rsidRDefault="00F129E9" w:rsidP="005138CA">
      <w:pPr>
        <w:spacing w:line="360" w:lineRule="auto"/>
        <w:jc w:val="both"/>
      </w:pPr>
      <w:r w:rsidRPr="00F129E9">
        <w:t>Literatūros ID Nr.: PMID: 16838376 DOI: 10.1002/jor.20213</w:t>
      </w:r>
    </w:p>
    <w:p w14:paraId="241C2C11" w14:textId="5EA8341D" w:rsidR="00F129E9" w:rsidRDefault="00F129E9" w:rsidP="005138CA">
      <w:pPr>
        <w:spacing w:line="360" w:lineRule="auto"/>
        <w:jc w:val="both"/>
      </w:pPr>
      <w:r w:rsidRPr="00F129E9">
        <w:t xml:space="preserve">Literatūra Šaltinis: Ortopedijos tyrimų žurnalas Korespondentas autorius: </w:t>
      </w:r>
      <w:proofErr w:type="spellStart"/>
      <w:r w:rsidRPr="00F129E9">
        <w:t>Ritabh</w:t>
      </w:r>
      <w:proofErr w:type="spellEnd"/>
      <w:r w:rsidRPr="00F129E9">
        <w:t xml:space="preserve"> </w:t>
      </w:r>
      <w:proofErr w:type="spellStart"/>
      <w:r w:rsidRPr="00F129E9">
        <w:t>Kumar</w:t>
      </w:r>
      <w:proofErr w:type="spellEnd"/>
      <w:r w:rsidRPr="00F129E9">
        <w:t xml:space="preserve">, Richard A. </w:t>
      </w:r>
      <w:proofErr w:type="spellStart"/>
      <w:r w:rsidRPr="00F129E9">
        <w:t>Lerski</w:t>
      </w:r>
      <w:proofErr w:type="spellEnd"/>
      <w:r w:rsidRPr="00F129E9">
        <w:t xml:space="preserve">, </w:t>
      </w:r>
      <w:proofErr w:type="spellStart"/>
      <w:r w:rsidRPr="00F129E9">
        <w:t>Stephen</w:t>
      </w:r>
      <w:proofErr w:type="spellEnd"/>
      <w:r w:rsidRPr="00F129E9">
        <w:t xml:space="preserve"> Gandy, </w:t>
      </w:r>
      <w:proofErr w:type="spellStart"/>
      <w:r w:rsidRPr="00F129E9">
        <w:t>Benedict</w:t>
      </w:r>
      <w:proofErr w:type="spellEnd"/>
      <w:r w:rsidRPr="00F129E9">
        <w:t xml:space="preserve"> A. </w:t>
      </w:r>
      <w:proofErr w:type="spellStart"/>
      <w:r w:rsidRPr="00F129E9">
        <w:t>Clift</w:t>
      </w:r>
      <w:proofErr w:type="spellEnd"/>
      <w:r w:rsidRPr="00F129E9">
        <w:t xml:space="preserve">, Rami J. </w:t>
      </w:r>
      <w:proofErr w:type="spellStart"/>
      <w:r w:rsidRPr="00F129E9">
        <w:t>Abboud</w:t>
      </w:r>
      <w:proofErr w:type="spellEnd"/>
    </w:p>
    <w:p w14:paraId="1547725D" w14:textId="77777777" w:rsidR="006335D7" w:rsidRDefault="006335D7" w:rsidP="005138CA">
      <w:pPr>
        <w:spacing w:line="360" w:lineRule="auto"/>
        <w:jc w:val="both"/>
      </w:pPr>
    </w:p>
    <w:p w14:paraId="069ECF12" w14:textId="77777777" w:rsidR="00F129E9" w:rsidRPr="00F129E9" w:rsidRDefault="00F129E9" w:rsidP="005138CA">
      <w:pPr>
        <w:spacing w:line="360" w:lineRule="auto"/>
        <w:jc w:val="both"/>
      </w:pPr>
      <w:r w:rsidRPr="00F129E9">
        <w:lastRenderedPageBreak/>
        <w:t>IŠVADA DĖL SAUGOS IR VEIKSMINGUMO:</w:t>
      </w:r>
    </w:p>
    <w:p w14:paraId="7F2853C5" w14:textId="60FDE389" w:rsidR="00F129E9" w:rsidRPr="00F129E9" w:rsidRDefault="00F129E9" w:rsidP="005138CA">
      <w:pPr>
        <w:spacing w:line="360" w:lineRule="auto"/>
        <w:jc w:val="both"/>
      </w:pPr>
      <w:r w:rsidRPr="00F129E9">
        <w:t>Remiantis literatūros apžvalga, galima daryti išvadą, kad implantų sukeltų komplikacijų neigiamo poveikio rizika magnetinio rezonanso tomografijos metu yra labai maža, o MRT gali būti saugiai naudojamas pacientams, turintiems implantus. Pacientas turi informuoti techniką ir radiologą apie pooperacinę būklę po implantacijos.</w:t>
      </w:r>
    </w:p>
    <w:p w14:paraId="7B0BBA34" w14:textId="27ADA844" w:rsidR="00F129E9" w:rsidRDefault="00F129E9" w:rsidP="005138CA">
      <w:pPr>
        <w:spacing w:line="360" w:lineRule="auto"/>
        <w:jc w:val="both"/>
      </w:pPr>
      <w:r w:rsidRPr="00F129E9">
        <w:t>Kadangi mūsų naudojama medžiaga yra panaši/lygiavertė tai, kurią naudoja šioje literatūroje minimi gamintojai, šiuo metu nereikia atlikti jokių papildomų MRT suderinamumo bandymų.</w:t>
      </w:r>
    </w:p>
    <w:sectPr w:rsidR="00F129E9" w:rsidSect="004865C6">
      <w:pgSz w:w="12240" w:h="15840"/>
      <w:pgMar w:top="1134" w:right="107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9E9"/>
    <w:rsid w:val="002B5322"/>
    <w:rsid w:val="002B5722"/>
    <w:rsid w:val="00336EF1"/>
    <w:rsid w:val="004865C6"/>
    <w:rsid w:val="005138CA"/>
    <w:rsid w:val="006335D7"/>
    <w:rsid w:val="00800BF9"/>
    <w:rsid w:val="008058A7"/>
    <w:rsid w:val="00DE6B11"/>
    <w:rsid w:val="00F129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E92856"/>
  <w15:chartTrackingRefBased/>
  <w15:docId w15:val="{6F9AFFA0-6994-4C0B-BAB3-CD9F1E358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F129E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129E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129E9"/>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129E9"/>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129E9"/>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129E9"/>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129E9"/>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129E9"/>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129E9"/>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129E9"/>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129E9"/>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129E9"/>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129E9"/>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129E9"/>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129E9"/>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129E9"/>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129E9"/>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129E9"/>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129E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129E9"/>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129E9"/>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129E9"/>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129E9"/>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129E9"/>
    <w:rPr>
      <w:i/>
      <w:iCs/>
      <w:color w:val="404040" w:themeColor="text1" w:themeTint="BF"/>
    </w:rPr>
  </w:style>
  <w:style w:type="paragraph" w:styleId="Sraopastraipa">
    <w:name w:val="List Paragraph"/>
    <w:basedOn w:val="prastasis"/>
    <w:uiPriority w:val="34"/>
    <w:qFormat/>
    <w:rsid w:val="00F129E9"/>
    <w:pPr>
      <w:ind w:left="720"/>
      <w:contextualSpacing/>
    </w:pPr>
  </w:style>
  <w:style w:type="character" w:styleId="Rykuspabraukimas">
    <w:name w:val="Intense Emphasis"/>
    <w:basedOn w:val="Numatytasispastraiposriftas"/>
    <w:uiPriority w:val="21"/>
    <w:qFormat/>
    <w:rsid w:val="00F129E9"/>
    <w:rPr>
      <w:i/>
      <w:iCs/>
      <w:color w:val="2F5496" w:themeColor="accent1" w:themeShade="BF"/>
    </w:rPr>
  </w:style>
  <w:style w:type="paragraph" w:styleId="Iskirtacitata">
    <w:name w:val="Intense Quote"/>
    <w:basedOn w:val="prastasis"/>
    <w:next w:val="prastasis"/>
    <w:link w:val="IskirtacitataDiagrama"/>
    <w:uiPriority w:val="30"/>
    <w:qFormat/>
    <w:rsid w:val="00F129E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129E9"/>
    <w:rPr>
      <w:i/>
      <w:iCs/>
      <w:color w:val="2F5496" w:themeColor="accent1" w:themeShade="BF"/>
    </w:rPr>
  </w:style>
  <w:style w:type="character" w:styleId="Rykinuoroda">
    <w:name w:val="Intense Reference"/>
    <w:basedOn w:val="Numatytasispastraiposriftas"/>
    <w:uiPriority w:val="32"/>
    <w:qFormat/>
    <w:rsid w:val="00F129E9"/>
    <w:rPr>
      <w:b/>
      <w:bCs/>
      <w:smallCaps/>
      <w:color w:val="2F5496" w:themeColor="accent1" w:themeShade="BF"/>
      <w:spacing w:val="5"/>
    </w:rPr>
  </w:style>
  <w:style w:type="character" w:styleId="Vietosrezervavimoenklotekstas">
    <w:name w:val="Placeholder Text"/>
    <w:basedOn w:val="Numatytasispastraiposriftas"/>
    <w:uiPriority w:val="99"/>
    <w:semiHidden/>
    <w:rsid w:val="00DE6B11"/>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6</Pages>
  <Words>8800</Words>
  <Characters>5017</Characters>
  <Application>Microsoft Office Word</Application>
  <DocSecurity>0</DocSecurity>
  <Lines>41</Lines>
  <Paragraphs>27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Lukas Bubulas</dc:creator>
  <cp:keywords/>
  <dc:description/>
  <cp:lastModifiedBy>Lukas Bubulas</cp:lastModifiedBy>
  <cp:revision>3</cp:revision>
  <dcterms:created xsi:type="dcterms:W3CDTF">2025-01-31T12:48:00Z</dcterms:created>
  <dcterms:modified xsi:type="dcterms:W3CDTF">2025-01-31T13:32:00Z</dcterms:modified>
</cp:coreProperties>
</file>